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785DD49" w:rsidR="00F92268" w:rsidRPr="00FF66BF" w:rsidRDefault="00B0701A" w:rsidP="00F246C7">
            <w:pPr>
              <w:pStyle w:val="RefTableHeader"/>
            </w:pPr>
            <w:r w:rsidRPr="00B0701A">
              <w:t>5780-A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11CD962" w:rsidR="004B15BB" w:rsidRDefault="004B3FF7" w:rsidP="007E5C16">
      <w:pPr>
        <w:pStyle w:val="Heading1"/>
      </w:pPr>
      <w:r w:rsidRPr="004B3FF7">
        <w:t>Specialty Guideline Management</w:t>
      </w:r>
      <w:r w:rsidRPr="00BD1CC1">
        <w:br/>
      </w:r>
      <w:r w:rsidRPr="004B3FF7">
        <w:t>Jesduvroq</w:t>
      </w:r>
    </w:p>
    <w:p w14:paraId="78861C92" w14:textId="7F201E5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  <w:r w:rsidR="0026796B" w:rsidRPr="00BD1CC1">
        <w:t xml:space="preserve"> </w:t>
      </w:r>
    </w:p>
    <w:p w14:paraId="5455152B" w14:textId="746A56C3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proofErr w:type="gramStart"/>
      <w:r w:rsidR="00CB29B2" w:rsidRPr="00CB29B2">
        <w:t>Over-the-counter</w:t>
      </w:r>
      <w:proofErr w:type="gramEnd"/>
      <w:r w:rsidR="00CB29B2" w:rsidRPr="00CB29B2">
        <w:t xml:space="preserve">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78D36B07" w:rsidR="005B4D7C" w:rsidRPr="00BD1CC1" w:rsidRDefault="004B3FF7">
            <w:pPr>
              <w:pStyle w:val="TableDataUnpadded"/>
            </w:pPr>
            <w:r w:rsidRPr="004B3FF7">
              <w:t>Jesduvroq</w:t>
            </w:r>
          </w:p>
        </w:tc>
        <w:tc>
          <w:tcPr>
            <w:tcW w:w="5595" w:type="dxa"/>
          </w:tcPr>
          <w:p w14:paraId="1A09710D" w14:textId="74E569B8" w:rsidR="005B4D7C" w:rsidRPr="00BD1CC1" w:rsidRDefault="004B3FF7">
            <w:pPr>
              <w:pStyle w:val="TableDataUnpadded"/>
            </w:pPr>
            <w:r w:rsidRPr="004B3FF7">
              <w:t>daprodustat</w:t>
            </w:r>
          </w:p>
        </w:tc>
      </w:tr>
    </w:tbl>
    <w:p w14:paraId="14CE6108" w14:textId="2C3B69F6" w:rsidR="00FC1AAD" w:rsidRDefault="00ED052F" w:rsidP="00AA2A94">
      <w:pPr>
        <w:pStyle w:val="Heading2"/>
        <w:tabs>
          <w:tab w:val="left" w:pos="9540"/>
        </w:tabs>
      </w:pPr>
      <w:r>
        <w:t xml:space="preserve">Indications </w:t>
      </w:r>
    </w:p>
    <w:p w14:paraId="48091680" w14:textId="1890DF7E" w:rsidR="00F14CF2" w:rsidRPr="00F14CF2" w:rsidRDefault="00F14CF2" w:rsidP="00F14CF2">
      <w:pPr>
        <w:pStyle w:val="BodyText"/>
      </w:pPr>
      <w:r w:rsidRPr="00F14CF2">
        <w:t xml:space="preserve">The indications below including FDA-approved indications and compendial uses are considered a covered benefit provided that all the approval criteria are </w:t>
      </w:r>
      <w:proofErr w:type="gramStart"/>
      <w:r w:rsidRPr="00F14CF2">
        <w:t>met</w:t>
      </w:r>
      <w:proofErr w:type="gramEnd"/>
      <w:r w:rsidRPr="00F14CF2">
        <w:t xml:space="preserve"> and the member has no exclusions to the prescribed therapy.</w:t>
      </w:r>
    </w:p>
    <w:p w14:paraId="134B5687" w14:textId="569A3B1D" w:rsidR="00ED052F" w:rsidRPr="00BD1CC1" w:rsidRDefault="00F14CF2" w:rsidP="00ED052F">
      <w:pPr>
        <w:pStyle w:val="Heading3"/>
        <w:keepNext w:val="0"/>
      </w:pPr>
      <w:r w:rsidRPr="00F14CF2">
        <w:t>FDA-</w:t>
      </w:r>
      <w:r w:rsidR="00BD784E">
        <w:t>a</w:t>
      </w:r>
      <w:r w:rsidRPr="00F14CF2">
        <w:t>pproved Indication</w:t>
      </w:r>
      <w:r w:rsidRPr="00F14CF2">
        <w:rPr>
          <w:vertAlign w:val="superscript"/>
        </w:rPr>
        <w:t>1</w:t>
      </w:r>
      <w:r>
        <w:t xml:space="preserve"> </w:t>
      </w:r>
    </w:p>
    <w:p w14:paraId="4C434745" w14:textId="0E6CE488" w:rsidR="00ED052F" w:rsidRDefault="00F14CF2" w:rsidP="00ED052F">
      <w:pPr>
        <w:pStyle w:val="BodyText"/>
      </w:pPr>
      <w:r w:rsidRPr="00F14CF2">
        <w:t>Jesduvroq is indicated for the treatment of anemia due to chronic kidney disease (CKD) in adults who have been receiving dialysis for at least four months.</w:t>
      </w:r>
    </w:p>
    <w:p w14:paraId="146D8876" w14:textId="33E1B1F2" w:rsidR="00F14CF2" w:rsidRDefault="00F14CF2" w:rsidP="00ED052F">
      <w:pPr>
        <w:pStyle w:val="BodyText"/>
      </w:pPr>
      <w:r w:rsidRPr="00F14CF2">
        <w:t>All other indications are considered experimental/investigational and not medically necessary.</w:t>
      </w:r>
    </w:p>
    <w:p w14:paraId="7205D86F" w14:textId="0607C76F" w:rsidR="00F14CF2" w:rsidRDefault="00F14CF2" w:rsidP="00F14CF2">
      <w:pPr>
        <w:pStyle w:val="Heading2"/>
        <w:tabs>
          <w:tab w:val="left" w:pos="9540"/>
        </w:tabs>
      </w:pPr>
      <w:r w:rsidRPr="00F14CF2">
        <w:t>Coverage Criteria</w:t>
      </w:r>
      <w:r>
        <w:t xml:space="preserve"> </w:t>
      </w:r>
    </w:p>
    <w:p w14:paraId="6DD2F6A7" w14:textId="77777777" w:rsidR="00B0701A" w:rsidRDefault="00F14CF2" w:rsidP="00ED052F">
      <w:pPr>
        <w:pStyle w:val="BodyText"/>
      </w:pPr>
      <w:r w:rsidRPr="00F14CF2">
        <w:t>Note: Requirements regarding pretreatment hemoglobin level exclude values due to a recent transfusion. All members must be assessed for iron deficiency anemia and have adequate iron stores (defined as a serum transferrin saturation [TSAT] level greater than or equal to 20% within the prior 3 months) or are receiving iron therapy before starting Jesduvroq. Members may not use Jesduvroq concomitantly with erythropoiesis stimulating agents.</w:t>
      </w:r>
    </w:p>
    <w:p w14:paraId="4C11EDD2" w14:textId="36C39DB9" w:rsidR="00ED052F" w:rsidRPr="00ED012B" w:rsidRDefault="00F14CF2" w:rsidP="00BD784E">
      <w:pPr>
        <w:pStyle w:val="Heading3"/>
      </w:pPr>
      <w:r w:rsidRPr="00F14CF2">
        <w:lastRenderedPageBreak/>
        <w:t xml:space="preserve">Anemia </w:t>
      </w:r>
      <w:r w:rsidR="006C2E11">
        <w:t>D</w:t>
      </w:r>
      <w:r w:rsidRPr="00F14CF2">
        <w:t>ue to Chronic Kidney Disease (CKD)</w:t>
      </w:r>
      <w:r w:rsidRPr="00F14CF2">
        <w:rPr>
          <w:vertAlign w:val="superscript"/>
        </w:rPr>
        <w:t>1-4</w:t>
      </w:r>
    </w:p>
    <w:p w14:paraId="66DD5D44" w14:textId="23AB89C2" w:rsidR="00ED052F" w:rsidRDefault="00150EB5" w:rsidP="00ED052F">
      <w:pPr>
        <w:pStyle w:val="BodyText"/>
      </w:pPr>
      <w:r w:rsidRPr="00150EB5">
        <w:t xml:space="preserve">Authorization of 12 weeks may be granted for treatment of anemia due to chronic kidney disease </w:t>
      </w:r>
      <w:r w:rsidR="0020096F">
        <w:t xml:space="preserve">in adult members </w:t>
      </w:r>
      <w:r w:rsidRPr="00150EB5">
        <w:t>when both of the following criteria are met:</w:t>
      </w:r>
      <w:r>
        <w:t xml:space="preserve"> </w:t>
      </w:r>
    </w:p>
    <w:p w14:paraId="2BB34190" w14:textId="77777777" w:rsidR="00150EB5" w:rsidRDefault="00150EB5" w:rsidP="00150EB5">
      <w:pPr>
        <w:pStyle w:val="ListParagraph"/>
      </w:pPr>
      <w:r>
        <w:t>The member has been receiving dialysis for at least four months.</w:t>
      </w:r>
    </w:p>
    <w:p w14:paraId="5F9124DF" w14:textId="1ACC4066" w:rsidR="00753B12" w:rsidRDefault="00150EB5" w:rsidP="00B0701A">
      <w:pPr>
        <w:pStyle w:val="ListParagraph"/>
        <w:spacing w:after="0"/>
      </w:pPr>
      <w:r>
        <w:t xml:space="preserve">The pretreatment hemoglobin level is less than or equal to 11 </w:t>
      </w:r>
      <w:r w:rsidR="0020096F">
        <w:t>grams per deciliter (</w:t>
      </w:r>
      <w:r>
        <w:t>g/dL</w:t>
      </w:r>
      <w:r w:rsidR="0020096F">
        <w:t>)</w:t>
      </w:r>
      <w:r>
        <w:t>.</w:t>
      </w:r>
    </w:p>
    <w:p w14:paraId="3A643EC3" w14:textId="5FFED2B9" w:rsidR="00A501AC" w:rsidRPr="00BD1CC1" w:rsidRDefault="00722277" w:rsidP="00A501AC">
      <w:pPr>
        <w:pStyle w:val="Heading2"/>
      </w:pPr>
      <w:r w:rsidRPr="00722277">
        <w:t xml:space="preserve">Continuation </w:t>
      </w:r>
      <w:r w:rsidR="00BD784E">
        <w:t>o</w:t>
      </w:r>
      <w:r w:rsidRPr="00722277">
        <w:t>f Therapy</w:t>
      </w:r>
      <w:r w:rsidRPr="00722277">
        <w:rPr>
          <w:vertAlign w:val="superscript"/>
        </w:rPr>
        <w:t>1-3,5</w:t>
      </w:r>
    </w:p>
    <w:p w14:paraId="32C8905D" w14:textId="11D05EB1" w:rsidR="00A501AC" w:rsidRDefault="00722277" w:rsidP="003D46B0">
      <w:pPr>
        <w:pStyle w:val="BodyText"/>
      </w:pPr>
      <w:r w:rsidRPr="00722277">
        <w:t>Note: Requirements regarding current hemoglobin level exclude values due to a recent transfusion. All members must be assessed for iron deficiency anemia and have adequate iron stores (defined as a serum transferrin saturation [TSAT] level greater than or equal to 20% within the prior 3 months) or are receiving iron therapy before continuation of treatment with Jesduvroq. Members may not use Jesduvroq concomitantly with erythropoiesis stimulating agents.</w:t>
      </w:r>
    </w:p>
    <w:p w14:paraId="2EAE7762" w14:textId="62F5A451" w:rsidR="00722277" w:rsidRDefault="00722277" w:rsidP="003D46B0">
      <w:pPr>
        <w:pStyle w:val="BodyText"/>
      </w:pPr>
      <w:r w:rsidRPr="00722277">
        <w:t xml:space="preserve">All members (including new members) requesting authorization for continuation of therapy after at least 12 weeks of Jesduvroq treatment must show a response with a rise in hemoglobin of greater than or equal to 1 g/dL. Members who </w:t>
      </w:r>
      <w:r w:rsidR="0020096F">
        <w:t xml:space="preserve">have </w:t>
      </w:r>
      <w:r w:rsidRPr="00722277">
        <w:t>completed less than 12 weeks of Jesduvroq treatment and have not yet responded with a rise in hemoglobin of greater than or equal to 1 g/dL may be granted authorization for up to 12 weeks to allow for sufficient time to demonstrate a response.</w:t>
      </w:r>
    </w:p>
    <w:p w14:paraId="79358750" w14:textId="77777777" w:rsidR="00B0701A" w:rsidRDefault="00722277" w:rsidP="003D46B0">
      <w:pPr>
        <w:pStyle w:val="BodyText"/>
      </w:pPr>
      <w:r w:rsidRPr="00722277">
        <w:t>Authorization of 12 weeks may be granted for continued treatment of anemia due to chronic kidney disease in adult members receiving dialysis with current hemoglobin less than 12 g/dL.</w:t>
      </w:r>
    </w:p>
    <w:p w14:paraId="323AB573" w14:textId="77777777" w:rsidR="00AF048C" w:rsidRDefault="00AF048C" w:rsidP="003D46B0">
      <w:pPr>
        <w:pStyle w:val="BodyText"/>
        <w:sectPr w:rsidR="00AF048C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DA4309" w14:textId="3EACD2EE" w:rsidR="00FF66BF" w:rsidRPr="008D1B34" w:rsidRDefault="00FF66BF" w:rsidP="00B0701A">
      <w:pPr>
        <w:pStyle w:val="Heading2"/>
        <w:spacing w:after="0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8D1B34">
        <w:t xml:space="preserve">References </w:t>
      </w:r>
    </w:p>
    <w:p w14:paraId="008158C7" w14:textId="77777777" w:rsidR="00722277" w:rsidRPr="00BD784E" w:rsidRDefault="00722277" w:rsidP="00BD784E">
      <w:pPr>
        <w:pStyle w:val="ReferenceOrdered"/>
      </w:pPr>
      <w:r w:rsidRPr="00BD784E">
        <w:t>Jesduvroq [package insert]. Durham, NC: GlaxoSmithKline; August 2023.</w:t>
      </w:r>
    </w:p>
    <w:p w14:paraId="7D378C74" w14:textId="7E8CBA7F" w:rsidR="00722277" w:rsidRPr="00BD784E" w:rsidRDefault="00722277" w:rsidP="00BD784E">
      <w:pPr>
        <w:pStyle w:val="ReferenceOrdered"/>
      </w:pPr>
      <w:r w:rsidRPr="00BD784E">
        <w:t xml:space="preserve">AHFS DI (Adult and Pediatric) [database online]. Hudson, OH: Lexi-Comp, Inc.; http://online.lexi.com/lco/action/index/dataset/complete_ashp [available with subscription]. Accessed September </w:t>
      </w:r>
      <w:r w:rsidR="0020096F">
        <w:t>5</w:t>
      </w:r>
      <w:r w:rsidRPr="00BD784E">
        <w:t xml:space="preserve">, </w:t>
      </w:r>
      <w:r w:rsidR="0020096F" w:rsidRPr="00BD784E">
        <w:t>202</w:t>
      </w:r>
      <w:r w:rsidR="0020096F">
        <w:t>4</w:t>
      </w:r>
      <w:r w:rsidRPr="00BD784E">
        <w:t xml:space="preserve">. </w:t>
      </w:r>
    </w:p>
    <w:p w14:paraId="571426E4" w14:textId="77777777" w:rsidR="00722277" w:rsidRPr="00BD784E" w:rsidRDefault="00722277" w:rsidP="00BD784E">
      <w:pPr>
        <w:pStyle w:val="ReferenceOrdered"/>
      </w:pPr>
      <w:r w:rsidRPr="00BD784E">
        <w:t xml:space="preserve">Singh AK, Carroll K, Perkovic V, et al. Daprodustat for the Treatment of Anemia in Patients Undergoing Dialysis. N Engl J Med. 2021 Dec 16;385(25):2325-2335. </w:t>
      </w:r>
      <w:proofErr w:type="spellStart"/>
      <w:r w:rsidRPr="00BD784E">
        <w:t>doi</w:t>
      </w:r>
      <w:proofErr w:type="spellEnd"/>
      <w:r w:rsidRPr="00BD784E">
        <w:t xml:space="preserve">: 10.1056/NEJMoa2113379. </w:t>
      </w:r>
      <w:proofErr w:type="spellStart"/>
      <w:r w:rsidRPr="00BD784E">
        <w:t>Epub</w:t>
      </w:r>
      <w:proofErr w:type="spellEnd"/>
      <w:r w:rsidRPr="00BD784E">
        <w:t xml:space="preserve"> 2021 Nov 5.</w:t>
      </w:r>
    </w:p>
    <w:p w14:paraId="3B24DBA9" w14:textId="77777777" w:rsidR="00722277" w:rsidRPr="00BD784E" w:rsidRDefault="00722277" w:rsidP="00BD784E">
      <w:pPr>
        <w:pStyle w:val="ReferenceOrdered"/>
      </w:pPr>
      <w:r w:rsidRPr="00BD784E">
        <w:t xml:space="preserve">Singh AK, </w:t>
      </w:r>
      <w:proofErr w:type="spellStart"/>
      <w:r w:rsidRPr="00BD784E">
        <w:t>Blackorby</w:t>
      </w:r>
      <w:proofErr w:type="spellEnd"/>
      <w:r w:rsidRPr="00BD784E">
        <w:t xml:space="preserve"> A, </w:t>
      </w:r>
      <w:proofErr w:type="spellStart"/>
      <w:r w:rsidRPr="00BD784E">
        <w:t>Cizman</w:t>
      </w:r>
      <w:proofErr w:type="spellEnd"/>
      <w:r w:rsidRPr="00BD784E">
        <w:t xml:space="preserve"> B, et al. Study design and baseline characteristics of patients on dialysis in the ASCEND-D trial. Nephrol Dial Transplant. 2022 Apr 25;37(5):960-972. </w:t>
      </w:r>
      <w:proofErr w:type="spellStart"/>
      <w:r w:rsidRPr="00BD784E">
        <w:t>doi</w:t>
      </w:r>
      <w:proofErr w:type="spellEnd"/>
      <w:r w:rsidRPr="00BD784E">
        <w:t>: 10.1093/</w:t>
      </w:r>
      <w:proofErr w:type="spellStart"/>
      <w:r w:rsidRPr="00BD784E">
        <w:t>ndt</w:t>
      </w:r>
      <w:proofErr w:type="spellEnd"/>
      <w:r w:rsidRPr="00BD784E">
        <w:t xml:space="preserve">/gfab065. </w:t>
      </w:r>
    </w:p>
    <w:p w14:paraId="47E1A10C" w14:textId="0600FC6B" w:rsidR="00C44990" w:rsidRPr="00B631F4" w:rsidRDefault="00722277" w:rsidP="00B631F4">
      <w:pPr>
        <w:pStyle w:val="ReferenceOrdered"/>
      </w:pPr>
      <w:r w:rsidRPr="00BD784E">
        <w:t xml:space="preserve">Kidney Disease: Improving Global Outcomes (KDIGO) Anemia Work Group. KDIGO Clinical Practice Guideline for Anemia in Chronic Kidney Disease. Kidney Int. </w:t>
      </w:r>
      <w:proofErr w:type="gramStart"/>
      <w:r w:rsidRPr="00BD784E">
        <w:t>2012;Suppl</w:t>
      </w:r>
      <w:proofErr w:type="gramEnd"/>
      <w:r w:rsidRPr="00BD784E">
        <w:t xml:space="preserve"> 2:279-335.</w:t>
      </w:r>
    </w:p>
    <w:sectPr w:rsidR="00C44990" w:rsidRPr="00B631F4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F34CA" w14:textId="77777777" w:rsidR="00304FE1" w:rsidRDefault="00304FE1">
      <w:r>
        <w:separator/>
      </w:r>
    </w:p>
  </w:endnote>
  <w:endnote w:type="continuationSeparator" w:id="0">
    <w:p w14:paraId="797ACB51" w14:textId="77777777" w:rsidR="00304FE1" w:rsidRDefault="00304FE1">
      <w:r>
        <w:continuationSeparator/>
      </w:r>
    </w:p>
  </w:endnote>
  <w:endnote w:type="continuationNotice" w:id="1">
    <w:p w14:paraId="2CF4C9E9" w14:textId="77777777" w:rsidR="00304FE1" w:rsidRDefault="00304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631558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E2E0D" w:rsidRPr="00EE2E0D">
      <w:rPr>
        <w:rFonts w:cs="Arial"/>
        <w:noProof/>
        <w:sz w:val="16"/>
        <w:szCs w:val="16"/>
      </w:rPr>
      <w:t>Jesduvroq</w:t>
    </w:r>
    <w:r w:rsidR="00EE2E0D">
      <w:rPr>
        <w:rFonts w:cs="Arial"/>
        <w:noProof/>
        <w:snapToGrid w:val="0"/>
        <w:color w:val="000000"/>
        <w:sz w:val="16"/>
        <w:szCs w:val="16"/>
      </w:rPr>
      <w:t xml:space="preserve"> SGM 5780-A</w:t>
    </w:r>
    <w:r w:rsidR="00EE2E0D" w:rsidRPr="00EE2E0D">
      <w:rPr>
        <w:rFonts w:cs="Arial"/>
        <w:noProof/>
        <w:sz w:val="16"/>
        <w:szCs w:val="16"/>
      </w:rPr>
      <w:t xml:space="preserve"> </w:t>
    </w:r>
    <w:r w:rsidR="00AF5F14">
      <w:rPr>
        <w:rFonts w:cs="Arial"/>
        <w:noProof/>
        <w:sz w:val="16"/>
        <w:szCs w:val="16"/>
      </w:rPr>
      <w:t>P</w:t>
    </w:r>
    <w:r w:rsidR="00EE2E0D" w:rsidRPr="00EE2E0D">
      <w:rPr>
        <w:rFonts w:cs="Arial"/>
        <w:noProof/>
        <w:sz w:val="16"/>
        <w:szCs w:val="16"/>
      </w:rPr>
      <w:t>2024</w:t>
    </w:r>
    <w:r w:rsidR="00EE2E0D">
      <w:rPr>
        <w:rFonts w:cs="Arial"/>
        <w:noProof/>
        <w:sz w:val="16"/>
        <w:szCs w:val="16"/>
      </w:rPr>
      <w:t>_R</w:t>
    </w:r>
    <w:r w:rsidR="00EE2E0D" w:rsidRPr="00EE2E0D">
      <w:rPr>
        <w:rFonts w:cs="Arial"/>
        <w:noProof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7777777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  <w:p w14:paraId="0DF8DEBC" w14:textId="43340681" w:rsidR="00F75C81" w:rsidRPr="00AA1E6A" w:rsidRDefault="00F75C81" w:rsidP="00AA1E6A">
    <w:pPr>
      <w:tabs>
        <w:tab w:val="right" w:pos="10710"/>
      </w:tabs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A909E22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AF048C">
      <w:rPr>
        <w:rFonts w:cs="Arial"/>
        <w:noProof/>
        <w:snapToGrid w:val="0"/>
        <w:color w:val="000000"/>
        <w:sz w:val="16"/>
        <w:szCs w:val="16"/>
        <w:lang w:val="pt-P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C6C13" w:rsidRPr="009C6C13">
      <w:rPr>
        <w:rFonts w:cs="Arial"/>
        <w:noProof/>
        <w:sz w:val="16"/>
        <w:szCs w:val="16"/>
        <w:lang w:val="pt-PT"/>
      </w:rPr>
      <w:t>Jesduvroq</w:t>
    </w:r>
    <w:r w:rsidR="009C6C13">
      <w:rPr>
        <w:rFonts w:cs="Arial"/>
        <w:noProof/>
        <w:snapToGrid w:val="0"/>
        <w:color w:val="000000"/>
        <w:sz w:val="16"/>
        <w:szCs w:val="16"/>
        <w:lang w:val="pt-PT"/>
      </w:rPr>
      <w:t xml:space="preserve"> SGM 5780-A</w:t>
    </w:r>
    <w:r w:rsidR="009C6C13" w:rsidRPr="009C6C13">
      <w:rPr>
        <w:rFonts w:cs="Arial"/>
        <w:noProof/>
        <w:sz w:val="16"/>
        <w:szCs w:val="16"/>
        <w:lang w:val="pt-PT"/>
      </w:rPr>
      <w:t xml:space="preserve"> </w:t>
    </w:r>
    <w:r w:rsidR="00AF5F14">
      <w:rPr>
        <w:rFonts w:cs="Arial"/>
        <w:noProof/>
        <w:sz w:val="16"/>
        <w:szCs w:val="16"/>
        <w:lang w:val="pt-PT"/>
      </w:rPr>
      <w:t>P</w:t>
    </w:r>
    <w:r w:rsidR="009C6C13" w:rsidRPr="009C6C13">
      <w:rPr>
        <w:rFonts w:cs="Arial"/>
        <w:noProof/>
        <w:sz w:val="16"/>
        <w:szCs w:val="16"/>
        <w:lang w:val="pt-PT"/>
      </w:rPr>
      <w:t>2024</w:t>
    </w:r>
    <w:r w:rsidR="00606436">
      <w:rPr>
        <w:rFonts w:cs="Arial"/>
        <w:noProof/>
        <w:sz w:val="16"/>
        <w:szCs w:val="16"/>
        <w:lang w:val="pt-PT"/>
      </w:rPr>
      <w:t>_R</w:t>
    </w:r>
    <w:r w:rsidR="009C6C13" w:rsidRPr="009C6C13">
      <w:rPr>
        <w:rFonts w:cs="Arial"/>
        <w:noProof/>
        <w:sz w:val="16"/>
        <w:szCs w:val="16"/>
        <w:lang w:val="pt-PT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AF048C">
      <w:rPr>
        <w:rFonts w:cs="Arial"/>
        <w:snapToGrid w:val="0"/>
        <w:color w:val="000000"/>
        <w:sz w:val="16"/>
        <w:lang w:val="pt-PT"/>
      </w:rPr>
      <w:tab/>
      <w:t xml:space="preserve">© </w:t>
    </w:r>
    <w:r w:rsidRPr="00AF048C">
      <w:rPr>
        <w:rFonts w:cs="Arial"/>
        <w:snapToGrid w:val="0"/>
        <w:color w:val="000000"/>
        <w:sz w:val="16"/>
        <w:lang w:val="pt-PT"/>
      </w:rPr>
      <w:t>202</w:t>
    </w:r>
    <w:r w:rsidR="00D74279" w:rsidRPr="00AF048C">
      <w:rPr>
        <w:rFonts w:cs="Arial"/>
        <w:snapToGrid w:val="0"/>
        <w:color w:val="000000"/>
        <w:sz w:val="16"/>
        <w:lang w:val="pt-PT"/>
      </w:rPr>
      <w:t>4</w:t>
    </w:r>
    <w:r w:rsidRPr="00AF048C">
      <w:rPr>
        <w:rFonts w:cs="Arial"/>
        <w:snapToGrid w:val="0"/>
        <w:color w:val="000000"/>
        <w:sz w:val="16"/>
        <w:lang w:val="pt-P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11D3145F" w14:textId="77777777" w:rsidR="00F50D98" w:rsidRPr="00EC47B6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  <w:p w14:paraId="64F317B8" w14:textId="46963202" w:rsidR="00ED04EC" w:rsidRPr="00F50D98" w:rsidRDefault="00ED04EC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3C481" w14:textId="77777777" w:rsidR="00304FE1" w:rsidRDefault="00304FE1">
      <w:r>
        <w:separator/>
      </w:r>
    </w:p>
  </w:footnote>
  <w:footnote w:type="continuationSeparator" w:id="0">
    <w:p w14:paraId="7C9CF71C" w14:textId="77777777" w:rsidR="00304FE1" w:rsidRDefault="00304FE1">
      <w:r>
        <w:continuationSeparator/>
      </w:r>
    </w:p>
  </w:footnote>
  <w:footnote w:type="continuationNotice" w:id="1">
    <w:p w14:paraId="7DD88ACB" w14:textId="77777777" w:rsidR="00304FE1" w:rsidRDefault="00304F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F048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AF048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28BE2656" w:rsidR="00ED04EC" w:rsidRPr="00AF048C" w:rsidRDefault="00B0701A" w:rsidP="00ED04EC">
          <w:pPr>
            <w:pStyle w:val="Header"/>
            <w:rPr>
              <w:rFonts w:cs="Arial"/>
              <w:sz w:val="16"/>
              <w:szCs w:val="16"/>
            </w:rPr>
          </w:pPr>
          <w:r w:rsidRPr="00AF048C">
            <w:rPr>
              <w:rFonts w:cs="Arial"/>
              <w:sz w:val="16"/>
              <w:szCs w:val="16"/>
            </w:rPr>
            <w:t>5780-A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ED0F47"/>
    <w:multiLevelType w:val="hybridMultilevel"/>
    <w:tmpl w:val="AE8474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6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7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9"/>
  </w:num>
  <w:num w:numId="27" w16cid:durableId="1866016584">
    <w:abstractNumId w:val="17"/>
  </w:num>
  <w:num w:numId="28" w16cid:durableId="171029697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0EB5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67EA1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991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9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1DA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E73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3EEE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4FE1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3A19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63B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C5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3FF7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6FD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960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009B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6F4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436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2E11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2277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2F7E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63C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2F83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139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6385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3E7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978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1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13E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FCD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5FAE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48C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5F14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01A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1F4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D784E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AB9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5D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D1A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67D54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677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BA8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2D6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16CE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2E0D"/>
    <w:rsid w:val="00EE34FA"/>
    <w:rsid w:val="00EE50CE"/>
    <w:rsid w:val="00EE5CD7"/>
    <w:rsid w:val="00EE6B14"/>
    <w:rsid w:val="00EE6F0A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B43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4CF2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0856BD-BE9B-4B28-8EE1-DD19A457AD08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Jesduvroq SGM 5780-A 2023a</vt:lpstr>
    </vt:vector>
  </TitlesOfParts>
  <Company>PCS Health Systems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Jesduvroq SGM 5780-A 2023a</dc:title>
  <dc:subject/>
  <dc:creator>CVS Caremark</dc:creator>
  <cp:keywords/>
  <cp:lastModifiedBy>Suh, Amy H</cp:lastModifiedBy>
  <cp:revision>4</cp:revision>
  <cp:lastPrinted>2018-01-09T11:01:00Z</cp:lastPrinted>
  <dcterms:created xsi:type="dcterms:W3CDTF">2025-01-07T16:52:00Z</dcterms:created>
  <dcterms:modified xsi:type="dcterms:W3CDTF">2025-01-07T16:52:00Z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1763700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